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Hlk124263100"/>
      <w:bookmarkEnd w:id="0"/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Προσφέροντος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Επωνυμία: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DF1F35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DF1F35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Στοιχεία Αναθέτουσας Αρχής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Ταχ. Διεύθυνση: Λαέρτου 22, Πυλαία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D94D25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66B5D567" w:rsidR="00C046A1" w:rsidRPr="00DF1F35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Ανακατασκευή και μερική αναστήλωση της Ι. Καλύβης «Ο Αγ. Γρηγόριος ο Παλαμάς» της Ι. Μ. Αγίου Παύλου</w:t>
            </w:r>
            <w:r w:rsidR="004D5141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C046A1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3E2C6405" w:rsidR="00C046A1" w:rsidRPr="00DF1F35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Υποέργο</w:t>
            </w:r>
            <w:r w:rsidR="00273129"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2</w:t>
            </w:r>
            <w:r w:rsidR="00C046A1"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 «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Προμήθεια </w:t>
            </w:r>
            <w:r w:rsidR="00001AA0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Οικοδομικών Υλικών</w:t>
            </w:r>
            <w:r w:rsidR="00001AA0"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C046A1"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1A0B3676" w:rsidR="001D7816" w:rsidRPr="00DF1F35" w:rsidRDefault="001D781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1</w:t>
            </w:r>
            <w:r w:rsidR="00DE3C0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3E379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DE3C0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Οικοδομικά Υλικά, CPV 44111000-1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3F0EFF0A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D5AF68E" w14:textId="77777777" w:rsidR="00273129" w:rsidRPr="005A722C" w:rsidRDefault="0027312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434809C5" w14:textId="717ABF46" w:rsidR="0089743B" w:rsidRPr="00B413EE" w:rsidRDefault="00A6678C" w:rsidP="00DF1F35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 w:rsidR="00B413EE"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 w:rsidR="00B413EE">
        <w:rPr>
          <w:rFonts w:eastAsia="Arial"/>
          <w:szCs w:val="22"/>
          <w:lang w:val="el-GR" w:eastAsia="el-GR"/>
        </w:rPr>
        <w:t>Η</w:t>
      </w:r>
      <w:r w:rsidR="00DF1F35" w:rsidRPr="00DF1F35">
        <w:rPr>
          <w:rFonts w:eastAsia="Arial"/>
          <w:szCs w:val="22"/>
          <w:lang w:val="el-GR" w:eastAsia="el-GR"/>
        </w:rPr>
        <w:t xml:space="preserve"> τεχνική προσφορά</w:t>
      </w:r>
      <w:r w:rsidR="00B413EE"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="00DF1F35" w:rsidRPr="00DF1F35">
        <w:rPr>
          <w:rFonts w:eastAsia="Arial"/>
          <w:szCs w:val="22"/>
          <w:lang w:val="el-GR" w:eastAsia="el-GR"/>
        </w:rPr>
        <w:t xml:space="preserve"> θα πρέπει </w:t>
      </w:r>
      <w:r w:rsidR="00B413EE">
        <w:rPr>
          <w:rFonts w:eastAsia="Arial"/>
          <w:szCs w:val="22"/>
          <w:lang w:val="el-GR" w:eastAsia="el-GR"/>
        </w:rPr>
        <w:t xml:space="preserve">επίσης </w:t>
      </w:r>
      <w:r w:rsidR="00DF1F35"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 w:rsidR="00DF1F35">
        <w:rPr>
          <w:rFonts w:eastAsia="Arial"/>
          <w:szCs w:val="22"/>
          <w:lang w:val="el-GR" w:eastAsia="el-GR"/>
        </w:rPr>
        <w:t>πιστοποιητικά</w:t>
      </w:r>
      <w:r w:rsidR="00DF1F35" w:rsidRPr="00DF1F35">
        <w:rPr>
          <w:rFonts w:eastAsia="Arial"/>
          <w:szCs w:val="22"/>
          <w:lang w:val="el-GR" w:eastAsia="el-GR"/>
        </w:rPr>
        <w:t>, τεχνικά φυλλάδια, κλπ</w:t>
      </w:r>
      <w:r w:rsidR="00DF1F35">
        <w:rPr>
          <w:rFonts w:eastAsia="Arial"/>
          <w:szCs w:val="22"/>
          <w:lang w:val="el-GR" w:eastAsia="el-GR"/>
        </w:rPr>
        <w:t>.</w:t>
      </w:r>
      <w:r w:rsidR="00DF1F35" w:rsidRPr="00DF1F35">
        <w:rPr>
          <w:rFonts w:eastAsia="Arial"/>
          <w:szCs w:val="22"/>
          <w:lang w:val="el-GR" w:eastAsia="el-GR"/>
        </w:rPr>
        <w:t xml:space="preserve">), </w:t>
      </w:r>
      <w:r w:rsidR="00556C57"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="00DF1F35" w:rsidRPr="00DF1F35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του</w:t>
      </w:r>
      <w:r w:rsidR="00B413EE">
        <w:rPr>
          <w:rFonts w:eastAsia="Arial"/>
          <w:szCs w:val="22"/>
          <w:lang w:val="el-GR" w:eastAsia="el-GR"/>
        </w:rPr>
        <w:t xml:space="preserve"> </w:t>
      </w:r>
      <w:r w:rsidR="00556C57">
        <w:rPr>
          <w:rFonts w:eastAsia="Arial"/>
          <w:szCs w:val="22"/>
          <w:lang w:val="el-GR" w:eastAsia="el-GR"/>
        </w:rPr>
        <w:t>Παραρτήματος</w:t>
      </w:r>
      <w:r w:rsidR="00B413EE">
        <w:rPr>
          <w:rFonts w:eastAsia="Arial"/>
          <w:szCs w:val="22"/>
          <w:lang w:val="el-GR" w:eastAsia="el-GR"/>
        </w:rPr>
        <w:t xml:space="preserve"> Ι</w:t>
      </w:r>
      <w:r w:rsidR="00DF1F35" w:rsidRPr="00DF1F35">
        <w:rPr>
          <w:rFonts w:eastAsia="Arial"/>
          <w:szCs w:val="22"/>
          <w:lang w:val="el-GR" w:eastAsia="el-GR"/>
        </w:rPr>
        <w:t>.</w:t>
      </w:r>
      <w:r w:rsidR="0089743B" w:rsidRPr="0089743B">
        <w:rPr>
          <w:rFonts w:eastAsia="Arial"/>
          <w:szCs w:val="22"/>
          <w:lang w:val="el-GR" w:eastAsia="el-GR"/>
        </w:rPr>
        <w:t xml:space="preserve"> </w:t>
      </w:r>
    </w:p>
    <w:p w14:paraId="1AB637DD" w14:textId="0C912FF8" w:rsidR="000E25E5" w:rsidRPr="00DF1F35" w:rsidRDefault="00B413EE" w:rsidP="000E25E5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="00A6678C" w:rsidRPr="00A6678C">
        <w:rPr>
          <w:rFonts w:eastAsia="Arial"/>
          <w:szCs w:val="22"/>
          <w:lang w:val="el-GR" w:eastAsia="el-GR"/>
        </w:rPr>
        <w:t xml:space="preserve"> 2</w:t>
      </w:r>
      <w:r w:rsidR="00A6678C" w:rsidRPr="00A6678C">
        <w:rPr>
          <w:rFonts w:eastAsia="Arial"/>
          <w:szCs w:val="22"/>
          <w:vertAlign w:val="superscript"/>
          <w:lang w:val="el-GR" w:eastAsia="el-GR"/>
        </w:rPr>
        <w:t>ο</w:t>
      </w:r>
      <w:r w:rsidR="00A6678C"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73687A8D" w14:textId="0A7037F8" w:rsidR="00580BB3" w:rsidRDefault="008B47BB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103"/>
        <w:gridCol w:w="2825"/>
        <w:gridCol w:w="1559"/>
      </w:tblGrid>
      <w:tr w:rsidR="00A6678C" w:rsidRPr="00A6678C" w14:paraId="3F3E33D9" w14:textId="76E7720B" w:rsidTr="00DF1F35">
        <w:trPr>
          <w:trHeight w:val="600"/>
        </w:trPr>
        <w:tc>
          <w:tcPr>
            <w:tcW w:w="864" w:type="dxa"/>
            <w:shd w:val="clear" w:color="000000" w:fill="D9D9D9"/>
            <w:vAlign w:val="center"/>
            <w:hideMark/>
          </w:tcPr>
          <w:p w14:paraId="67240620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bookmarkStart w:id="1" w:name="_Hlk114645421"/>
            <w:r w:rsidRPr="00A6678C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4103" w:type="dxa"/>
            <w:shd w:val="clear" w:color="000000" w:fill="D9D9D9"/>
            <w:vAlign w:val="center"/>
            <w:hideMark/>
          </w:tcPr>
          <w:p w14:paraId="6C0BF208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A6678C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2825" w:type="dxa"/>
            <w:shd w:val="clear" w:color="000000" w:fill="D9D9D9"/>
            <w:vAlign w:val="center"/>
            <w:hideMark/>
          </w:tcPr>
          <w:p w14:paraId="21511924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A6678C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14:paraId="280EF7D9" w14:textId="67D62DDA" w:rsidR="00A6678C" w:rsidRPr="00A6678C" w:rsidRDefault="00A6678C" w:rsidP="00A6678C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A6678C" w:rsidRPr="00A6678C" w14:paraId="34BAF1F3" w14:textId="4DD4667A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  <w:hideMark/>
          </w:tcPr>
          <w:p w14:paraId="6F0F6067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1.1</w:t>
            </w: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14:paraId="3BF24CA0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Τσιμέντο σε σάκους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14:paraId="59725DAE" w14:textId="20258F4B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ΕΝ 197-1:2000</w:t>
            </w:r>
          </w:p>
          <w:p w14:paraId="1380C7F6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ΕΝ 197-2:2000</w:t>
            </w:r>
          </w:p>
          <w:p w14:paraId="4E83E37C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ΕΝ 196-1</w:t>
            </w:r>
          </w:p>
        </w:tc>
        <w:tc>
          <w:tcPr>
            <w:tcW w:w="1559" w:type="dxa"/>
          </w:tcPr>
          <w:p w14:paraId="686C42E4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A6678C" w:rsidRPr="00A6678C" w14:paraId="18804F77" w14:textId="1C4F063D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  <w:hideMark/>
          </w:tcPr>
          <w:p w14:paraId="02E0D252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1.2</w:t>
            </w: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14:paraId="05F13B81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Τσιμέντο λευκό σε σάκους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28481AF" w14:textId="5BF6FCF9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ΕΝ 197-1:2000</w:t>
            </w:r>
          </w:p>
          <w:p w14:paraId="006FDB6E" w14:textId="2D53B64C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ΕΝ 197-2:2000</w:t>
            </w:r>
          </w:p>
          <w:p w14:paraId="5E41AC6A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ΕΝ 196-1</w:t>
            </w:r>
          </w:p>
        </w:tc>
        <w:tc>
          <w:tcPr>
            <w:tcW w:w="1559" w:type="dxa"/>
          </w:tcPr>
          <w:p w14:paraId="1EAF0ABC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A6678C" w:rsidRPr="00A6678C" w14:paraId="2C3366AC" w14:textId="3C3B8718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0D75539D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1.3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915572B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Ανάμεικτο (3Α)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2BE021B" w14:textId="7F85534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ΕΝ 12620:2008</w:t>
            </w:r>
          </w:p>
          <w:p w14:paraId="7E63BED0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ΕΝ 13139:2002</w:t>
            </w:r>
          </w:p>
          <w:p w14:paraId="539C3F40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n-US" w:eastAsia="el-GR"/>
              </w:rPr>
            </w:pPr>
            <w:r w:rsidRPr="00A6678C">
              <w:rPr>
                <w:sz w:val="20"/>
                <w:szCs w:val="20"/>
                <w:lang w:val="en-US" w:eastAsia="el-GR"/>
              </w:rPr>
              <w:lastRenderedPageBreak/>
              <w:t>EN13242:2002/A1:2007</w:t>
            </w:r>
          </w:p>
        </w:tc>
        <w:tc>
          <w:tcPr>
            <w:tcW w:w="1559" w:type="dxa"/>
          </w:tcPr>
          <w:p w14:paraId="52BA716B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A6678C" w:rsidRPr="00A6678C" w14:paraId="713614F2" w14:textId="559DFD92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4AF6A7F4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1.4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39622D0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Φυσική άμμος ποταμού (0–</w:t>
            </w:r>
            <w:r w:rsidRPr="00A6678C">
              <w:rPr>
                <w:sz w:val="20"/>
                <w:szCs w:val="20"/>
                <w:lang w:val="de-DE" w:eastAsia="el-GR"/>
              </w:rPr>
              <w:t>5</w:t>
            </w:r>
            <w:r w:rsidRPr="00A6678C">
              <w:rPr>
                <w:sz w:val="20"/>
                <w:szCs w:val="20"/>
                <w:lang w:val="el-GR" w:eastAsia="el-GR"/>
              </w:rPr>
              <w:t xml:space="preserve"> mm)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1C28A55" w14:textId="4C7CD62F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ΕΝ 12620:2008</w:t>
            </w:r>
          </w:p>
          <w:p w14:paraId="7F41D9FC" w14:textId="6C31A0D0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A6678C">
              <w:rPr>
                <w:sz w:val="20"/>
                <w:szCs w:val="20"/>
                <w:lang w:val="en-US" w:eastAsia="el-GR"/>
              </w:rPr>
              <w:t>EN 13055-1</w:t>
            </w:r>
            <w:r w:rsidRPr="00A6678C">
              <w:rPr>
                <w:sz w:val="20"/>
                <w:szCs w:val="20"/>
                <w:lang w:val="el-GR" w:eastAsia="el-GR"/>
              </w:rPr>
              <w:t>:</w:t>
            </w:r>
            <w:r w:rsidRPr="00A6678C">
              <w:rPr>
                <w:sz w:val="20"/>
                <w:szCs w:val="20"/>
                <w:lang w:val="en-US" w:eastAsia="el-GR"/>
              </w:rPr>
              <w:t>2002</w:t>
            </w:r>
          </w:p>
          <w:p w14:paraId="1C548319" w14:textId="46F3404D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bookmarkStart w:id="2" w:name="_Hlk116629046"/>
            <w:r w:rsidRPr="00A6678C">
              <w:rPr>
                <w:sz w:val="20"/>
                <w:szCs w:val="20"/>
                <w:lang w:val="en-US" w:eastAsia="el-GR"/>
              </w:rPr>
              <w:t>EN 13139-1</w:t>
            </w:r>
            <w:r w:rsidRPr="00A6678C">
              <w:rPr>
                <w:sz w:val="20"/>
                <w:szCs w:val="20"/>
                <w:lang w:val="el-GR" w:eastAsia="el-GR"/>
              </w:rPr>
              <w:t>:</w:t>
            </w:r>
            <w:r w:rsidRPr="00A6678C">
              <w:rPr>
                <w:sz w:val="20"/>
                <w:szCs w:val="20"/>
                <w:lang w:val="en-US" w:eastAsia="el-GR"/>
              </w:rPr>
              <w:t>2002</w:t>
            </w:r>
            <w:bookmarkEnd w:id="2"/>
          </w:p>
        </w:tc>
        <w:tc>
          <w:tcPr>
            <w:tcW w:w="1559" w:type="dxa"/>
          </w:tcPr>
          <w:p w14:paraId="2915B2DE" w14:textId="77777777" w:rsidR="00A6678C" w:rsidRPr="00A6678C" w:rsidRDefault="00A6678C" w:rsidP="00A6678C">
            <w:pPr>
              <w:suppressAutoHyphens w:val="0"/>
              <w:spacing w:after="0"/>
              <w:rPr>
                <w:sz w:val="20"/>
                <w:szCs w:val="20"/>
                <w:lang w:val="en-US" w:eastAsia="el-GR"/>
              </w:rPr>
            </w:pPr>
          </w:p>
        </w:tc>
      </w:tr>
      <w:tr w:rsidR="00A6678C" w:rsidRPr="00A6678C" w14:paraId="78B7594F" w14:textId="407BA68C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42CE70F7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1.5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4D080B0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Γαρμπίλι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DE581F4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ΕΝ 12620</w:t>
            </w:r>
          </w:p>
        </w:tc>
        <w:tc>
          <w:tcPr>
            <w:tcW w:w="1559" w:type="dxa"/>
          </w:tcPr>
          <w:p w14:paraId="62B10FAA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A6678C" w:rsidRPr="00A6678C" w14:paraId="4A2060F0" w14:textId="3DB2DF8C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2CEA2C94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1.6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2EBCED6D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Κροκάλα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0ED4943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n-US" w:eastAsia="el-GR"/>
              </w:rPr>
              <w:t>EN13242:2002/A1:2007</w:t>
            </w:r>
          </w:p>
        </w:tc>
        <w:tc>
          <w:tcPr>
            <w:tcW w:w="1559" w:type="dxa"/>
          </w:tcPr>
          <w:p w14:paraId="1236E231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A6678C" w:rsidRPr="00A6678C" w14:paraId="62BF24D0" w14:textId="5E902D98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5733A99C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1.7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3FE9804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Άργιλος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91AC333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A6678C">
              <w:rPr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559" w:type="dxa"/>
          </w:tcPr>
          <w:p w14:paraId="5C31F81C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A6678C" w:rsidRPr="00A6678C" w14:paraId="1D80AB55" w14:textId="0408267D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59F41C9F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1.8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4FAF088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Ασβέστης (πολτός)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9EA530C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ΕΝ 459-1:20</w:t>
            </w:r>
            <w:r w:rsidRPr="00A6678C">
              <w:rPr>
                <w:sz w:val="20"/>
                <w:szCs w:val="20"/>
                <w:lang w:val="en-US" w:eastAsia="el-GR"/>
              </w:rPr>
              <w:t>1</w:t>
            </w:r>
            <w:r w:rsidRPr="00A6678C">
              <w:rPr>
                <w:sz w:val="20"/>
                <w:szCs w:val="20"/>
                <w:lang w:val="el-GR" w:eastAsia="el-GR"/>
              </w:rPr>
              <w:t>5/</w:t>
            </w:r>
            <w:r w:rsidRPr="00A6678C">
              <w:rPr>
                <w:sz w:val="20"/>
                <w:szCs w:val="20"/>
                <w:lang w:val="de-DE" w:eastAsia="el-GR"/>
              </w:rPr>
              <w:t>ISO</w:t>
            </w:r>
            <w:r w:rsidRPr="00A6678C">
              <w:rPr>
                <w:sz w:val="20"/>
                <w:szCs w:val="20"/>
                <w:lang w:val="en-US" w:eastAsia="el-GR"/>
              </w:rPr>
              <w:t xml:space="preserve"> 9001</w:t>
            </w:r>
          </w:p>
        </w:tc>
        <w:tc>
          <w:tcPr>
            <w:tcW w:w="1559" w:type="dxa"/>
          </w:tcPr>
          <w:p w14:paraId="47B9347E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A6678C" w:rsidRPr="00A6678C" w14:paraId="148EF682" w14:textId="271FB09F" w:rsidTr="00DF1F35">
        <w:trPr>
          <w:trHeight w:val="432"/>
        </w:trPr>
        <w:tc>
          <w:tcPr>
            <w:tcW w:w="864" w:type="dxa"/>
            <w:shd w:val="clear" w:color="auto" w:fill="auto"/>
            <w:vAlign w:val="center"/>
          </w:tcPr>
          <w:p w14:paraId="6C39A9A7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1.9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B2E5A55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Υδράσβεστος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C4C7A05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ΕΝ  459-1:20</w:t>
            </w:r>
            <w:r w:rsidRPr="00A6678C">
              <w:rPr>
                <w:sz w:val="20"/>
                <w:szCs w:val="20"/>
                <w:lang w:val="en-US" w:eastAsia="el-GR"/>
              </w:rPr>
              <w:t>1</w:t>
            </w:r>
            <w:r w:rsidRPr="00A6678C">
              <w:rPr>
                <w:sz w:val="20"/>
                <w:szCs w:val="20"/>
                <w:lang w:val="el-GR" w:eastAsia="el-GR"/>
              </w:rPr>
              <w:t>5</w:t>
            </w:r>
          </w:p>
          <w:p w14:paraId="5CF1F77E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A6678C">
              <w:rPr>
                <w:sz w:val="20"/>
                <w:szCs w:val="20"/>
                <w:lang w:val="en-US" w:eastAsia="el-GR"/>
              </w:rPr>
              <w:t>EN 459-2</w:t>
            </w:r>
          </w:p>
          <w:p w14:paraId="49B08945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A6678C">
              <w:rPr>
                <w:sz w:val="20"/>
                <w:szCs w:val="20"/>
                <w:lang w:val="en-US" w:eastAsia="el-GR"/>
              </w:rPr>
              <w:t>EN 933-2</w:t>
            </w:r>
          </w:p>
        </w:tc>
        <w:tc>
          <w:tcPr>
            <w:tcW w:w="1559" w:type="dxa"/>
          </w:tcPr>
          <w:p w14:paraId="05C79E5B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A6678C" w:rsidRPr="00A6678C" w14:paraId="1402240F" w14:textId="5612AD53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4B9395EB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1.10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7EB3727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Θηραϊκή  γη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5AFCAC2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A6678C">
              <w:rPr>
                <w:sz w:val="20"/>
                <w:szCs w:val="20"/>
                <w:lang w:val="en-US" w:eastAsia="el-GR"/>
              </w:rPr>
              <w:t>ASTM C593-06</w:t>
            </w:r>
          </w:p>
        </w:tc>
        <w:tc>
          <w:tcPr>
            <w:tcW w:w="1559" w:type="dxa"/>
          </w:tcPr>
          <w:p w14:paraId="25901FB2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A6678C" w:rsidRPr="00A6678C" w14:paraId="53FE59B6" w14:textId="251CC1A3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312E140A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1.11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FC38D23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Σωληνάκια ενεμάτων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C0A58D3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A6678C">
              <w:rPr>
                <w:rFonts w:eastAsia="SimSun"/>
                <w:sz w:val="20"/>
                <w:szCs w:val="20"/>
                <w:lang w:val="el-GR"/>
              </w:rPr>
              <w:t>-</w:t>
            </w:r>
          </w:p>
        </w:tc>
        <w:tc>
          <w:tcPr>
            <w:tcW w:w="1559" w:type="dxa"/>
          </w:tcPr>
          <w:p w14:paraId="5B3D591D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A6678C" w:rsidRPr="00A6678C" w14:paraId="52111764" w14:textId="5B9091A3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5FC48AC2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1.12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20C270C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Κεραμάλευρο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742A06B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A6678C">
              <w:rPr>
                <w:rFonts w:eastAsia="SimSun"/>
                <w:sz w:val="20"/>
                <w:szCs w:val="20"/>
                <w:lang w:val="el-GR"/>
              </w:rPr>
              <w:t>ΕΝ 998-2</w:t>
            </w:r>
            <w:r w:rsidRPr="00A6678C">
              <w:rPr>
                <w:rFonts w:eastAsia="SimSun"/>
                <w:sz w:val="20"/>
                <w:szCs w:val="20"/>
                <w:lang w:val="en-US"/>
              </w:rPr>
              <w:t>:2016</w:t>
            </w:r>
          </w:p>
        </w:tc>
        <w:tc>
          <w:tcPr>
            <w:tcW w:w="1559" w:type="dxa"/>
          </w:tcPr>
          <w:p w14:paraId="54300DD4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A6678C" w:rsidRPr="00A6678C" w14:paraId="62C90112" w14:textId="528F6245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74BB2E2B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1.13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BE71577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Ίνες πολυπροπυλενίου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B2F5B28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A6678C">
              <w:rPr>
                <w:rFonts w:eastAsia="SimSun"/>
                <w:sz w:val="20"/>
                <w:szCs w:val="20"/>
                <w:lang w:val="el-GR"/>
              </w:rPr>
              <w:t>ΕΝ 14889-2</w:t>
            </w:r>
          </w:p>
        </w:tc>
        <w:tc>
          <w:tcPr>
            <w:tcW w:w="1559" w:type="dxa"/>
          </w:tcPr>
          <w:p w14:paraId="61B9CC41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A6678C" w:rsidRPr="00A6678C" w14:paraId="06E99C4E" w14:textId="2FDDB5A0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543AECF9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1.14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3A1F9B3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Κόκκοι διογκωμένου περλίτη για μόνωση ξύλινων δαπέδων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7F541CA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A6678C">
              <w:rPr>
                <w:rFonts w:eastAsia="SimSun"/>
                <w:sz w:val="20"/>
                <w:szCs w:val="20"/>
                <w:lang w:val="el-GR"/>
              </w:rPr>
              <w:t>ΕΝ 13055-1</w:t>
            </w:r>
          </w:p>
        </w:tc>
        <w:tc>
          <w:tcPr>
            <w:tcW w:w="1559" w:type="dxa"/>
          </w:tcPr>
          <w:p w14:paraId="678D970F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A6678C" w:rsidRPr="00A6678C" w14:paraId="26A9F804" w14:textId="3DE915C8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4B1E1F79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1.15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5DAA3534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Χαλύβδινος οπλισμός Β500c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5C7FA55" w14:textId="38D8CA8C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ΕΝ 10080</w:t>
            </w:r>
          </w:p>
          <w:p w14:paraId="43DB850A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ΕΝ</w:t>
            </w:r>
            <w:r w:rsidRPr="00A6678C">
              <w:rPr>
                <w:sz w:val="20"/>
                <w:szCs w:val="20"/>
                <w:lang w:val="de-DE" w:eastAsia="el-GR"/>
              </w:rPr>
              <w:t xml:space="preserve"> </w:t>
            </w:r>
            <w:r w:rsidRPr="00A6678C">
              <w:rPr>
                <w:sz w:val="20"/>
                <w:szCs w:val="20"/>
                <w:lang w:val="el-GR" w:eastAsia="el-GR"/>
              </w:rPr>
              <w:t>1421-3</w:t>
            </w:r>
          </w:p>
          <w:p w14:paraId="578BBBA1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ΤΠ 1501-01-02-01-00</w:t>
            </w:r>
          </w:p>
        </w:tc>
        <w:tc>
          <w:tcPr>
            <w:tcW w:w="1559" w:type="dxa"/>
          </w:tcPr>
          <w:p w14:paraId="31F572BF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A6678C" w:rsidRPr="00A6678C" w14:paraId="4965E16F" w14:textId="303FE21A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619C73D6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1.16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A14D666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Δομικό πλέγμα Τ131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C71D1FC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ΕΝ</w:t>
            </w:r>
            <w:r w:rsidRPr="00A6678C">
              <w:rPr>
                <w:sz w:val="20"/>
                <w:szCs w:val="20"/>
                <w:lang w:val="de-DE" w:eastAsia="el-GR"/>
              </w:rPr>
              <w:t xml:space="preserve"> </w:t>
            </w:r>
            <w:r w:rsidRPr="00A6678C">
              <w:rPr>
                <w:sz w:val="20"/>
                <w:szCs w:val="20"/>
                <w:lang w:val="el-GR" w:eastAsia="el-GR"/>
              </w:rPr>
              <w:t>1421-2</w:t>
            </w:r>
          </w:p>
          <w:p w14:paraId="55917C99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ΕΝ 10080</w:t>
            </w:r>
          </w:p>
        </w:tc>
        <w:tc>
          <w:tcPr>
            <w:tcW w:w="1559" w:type="dxa"/>
          </w:tcPr>
          <w:p w14:paraId="1DD1DBAF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A6678C" w:rsidRPr="00A6678C" w14:paraId="1F83AFE0" w14:textId="16E5930E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64862FB8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1.17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AE1A23A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highlight w:val="cyan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 xml:space="preserve">Ξυλεία ξυλοτύπου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D1952A1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A6678C">
              <w:rPr>
                <w:color w:val="000000"/>
                <w:sz w:val="20"/>
                <w:szCs w:val="20"/>
              </w:rPr>
              <w:t>EN 14081</w:t>
            </w:r>
          </w:p>
        </w:tc>
        <w:tc>
          <w:tcPr>
            <w:tcW w:w="1559" w:type="dxa"/>
          </w:tcPr>
          <w:p w14:paraId="004748B2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678C" w:rsidRPr="00A6678C" w14:paraId="61DFB78A" w14:textId="49BC8884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19FEDF7F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</w:t>
            </w:r>
            <w:r w:rsidRPr="00A6678C">
              <w:rPr>
                <w:sz w:val="20"/>
                <w:szCs w:val="20"/>
                <w:lang w:val="en-US" w:eastAsia="el-GR"/>
              </w:rPr>
              <w:t>1</w:t>
            </w:r>
            <w:r w:rsidRPr="00A6678C">
              <w:rPr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1D0CAAD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Ήλοι κοινοί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1FC29E3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-</w:t>
            </w:r>
          </w:p>
        </w:tc>
        <w:tc>
          <w:tcPr>
            <w:tcW w:w="1559" w:type="dxa"/>
          </w:tcPr>
          <w:p w14:paraId="60CDFE1A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A6678C" w:rsidRPr="00A6678C" w14:paraId="5FB30E85" w14:textId="599A24FA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5E910D4F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</w:t>
            </w:r>
            <w:r w:rsidRPr="00A6678C">
              <w:rPr>
                <w:sz w:val="20"/>
                <w:szCs w:val="20"/>
                <w:lang w:val="en-US" w:eastAsia="el-GR"/>
              </w:rPr>
              <w:t>1</w:t>
            </w:r>
            <w:r w:rsidRPr="00A6678C">
              <w:rPr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DB88A47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Ανοξείδωτες λάμες και κοχλίες σύνδεσης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B9DCC4A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A6678C">
              <w:rPr>
                <w:rFonts w:eastAsia="SimSun"/>
                <w:sz w:val="20"/>
                <w:szCs w:val="20"/>
                <w:lang w:val="el-GR"/>
              </w:rPr>
              <w:t>EN</w:t>
            </w:r>
            <w:r w:rsidRPr="00A6678C">
              <w:rPr>
                <w:sz w:val="20"/>
                <w:szCs w:val="20"/>
                <w:lang w:val="en-US" w:eastAsia="el-GR"/>
              </w:rPr>
              <w:t xml:space="preserve"> </w:t>
            </w:r>
            <w:r w:rsidRPr="00A6678C">
              <w:rPr>
                <w:rFonts w:eastAsia="SimSun"/>
                <w:sz w:val="20"/>
                <w:szCs w:val="20"/>
                <w:lang w:val="el-GR"/>
              </w:rPr>
              <w:t>10204</w:t>
            </w:r>
          </w:p>
        </w:tc>
        <w:tc>
          <w:tcPr>
            <w:tcW w:w="1559" w:type="dxa"/>
          </w:tcPr>
          <w:p w14:paraId="09897C7D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A6678C" w:rsidRPr="00A6678C" w14:paraId="1400EA3A" w14:textId="7A798FF0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7340E3C6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</w:t>
            </w:r>
            <w:r w:rsidRPr="00A6678C">
              <w:rPr>
                <w:sz w:val="20"/>
                <w:szCs w:val="20"/>
                <w:lang w:val="en-US" w:eastAsia="el-GR"/>
              </w:rPr>
              <w:t>2</w:t>
            </w:r>
            <w:r w:rsidRPr="00A6678C">
              <w:rPr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B6F0C82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Ασφαλτική μεμβράνη οπλισμένη με πολυεστερικό πλέγμα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E3F8828" w14:textId="6FDF2B28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de-DE" w:eastAsia="el-GR"/>
              </w:rPr>
            </w:pPr>
            <w:r w:rsidRPr="00A6678C">
              <w:rPr>
                <w:sz w:val="20"/>
                <w:szCs w:val="20"/>
                <w:lang w:val="de-DE" w:eastAsia="el-GR"/>
              </w:rPr>
              <w:t>ΕΝ 13707:2004/ A2:2009,</w:t>
            </w:r>
          </w:p>
          <w:p w14:paraId="36573176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de-DE" w:eastAsia="el-GR"/>
              </w:rPr>
            </w:pPr>
            <w:r w:rsidRPr="00A6678C">
              <w:rPr>
                <w:sz w:val="20"/>
                <w:szCs w:val="20"/>
                <w:lang w:val="de-DE" w:eastAsia="el-GR"/>
              </w:rPr>
              <w:t>ΕΝ 13969:2004/ A1:200</w:t>
            </w:r>
          </w:p>
          <w:p w14:paraId="4A1147EB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de-DE" w:eastAsia="el-GR"/>
              </w:rPr>
            </w:pPr>
            <w:r w:rsidRPr="00A6678C">
              <w:rPr>
                <w:sz w:val="20"/>
                <w:szCs w:val="20"/>
                <w:lang w:val="de-DE" w:eastAsia="el-GR"/>
              </w:rPr>
              <w:t>EΝ 1848-1, EN 1849-1, EN 1427, EN 1110, EN 1109, EN 12311-1, EN 12310-1, EN 12730-A, EN 1928</w:t>
            </w:r>
          </w:p>
        </w:tc>
        <w:tc>
          <w:tcPr>
            <w:tcW w:w="1559" w:type="dxa"/>
          </w:tcPr>
          <w:p w14:paraId="2493E3CC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de-DE" w:eastAsia="el-GR"/>
              </w:rPr>
            </w:pPr>
          </w:p>
        </w:tc>
      </w:tr>
      <w:tr w:rsidR="00A6678C" w:rsidRPr="00A6678C" w14:paraId="56DF39CA" w14:textId="5896DB74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02265D1C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</w:t>
            </w:r>
            <w:r w:rsidRPr="00A6678C">
              <w:rPr>
                <w:sz w:val="20"/>
                <w:szCs w:val="20"/>
                <w:lang w:val="en-US" w:eastAsia="el-GR"/>
              </w:rPr>
              <w:t>2</w:t>
            </w:r>
            <w:r w:rsidRPr="00A6678C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4CEAAD4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Πλάκες εξηλασμένης πολυστερίνης πάχους 7</w:t>
            </w:r>
            <w:r w:rsidRPr="00A6678C">
              <w:rPr>
                <w:sz w:val="20"/>
                <w:szCs w:val="20"/>
                <w:lang w:val="de-DE" w:eastAsia="el-GR"/>
              </w:rPr>
              <w:t>cm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77C4E93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A6678C">
              <w:rPr>
                <w:rFonts w:eastAsia="SimSun"/>
                <w:sz w:val="20"/>
                <w:szCs w:val="20"/>
                <w:lang w:val="el-GR"/>
              </w:rPr>
              <w:t>ΕΝ 13164</w:t>
            </w:r>
            <w:r w:rsidRPr="00A6678C">
              <w:rPr>
                <w:rFonts w:eastAsia="SimSun"/>
                <w:sz w:val="20"/>
                <w:szCs w:val="20"/>
                <w:lang w:val="de-DE"/>
              </w:rPr>
              <w:t xml:space="preserve">, </w:t>
            </w:r>
            <w:r w:rsidRPr="00A6678C">
              <w:rPr>
                <w:rFonts w:eastAsia="SimSun"/>
                <w:sz w:val="20"/>
                <w:szCs w:val="20"/>
                <w:lang w:val="el-GR"/>
              </w:rPr>
              <w:t>ΕΝ 13172</w:t>
            </w:r>
          </w:p>
        </w:tc>
        <w:tc>
          <w:tcPr>
            <w:tcW w:w="1559" w:type="dxa"/>
          </w:tcPr>
          <w:p w14:paraId="2E6DE2E2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A6678C" w:rsidRPr="00A6678C" w14:paraId="13E6F4DD" w14:textId="48A5C79A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4CB8D2CC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A6678C">
              <w:rPr>
                <w:sz w:val="20"/>
                <w:szCs w:val="20"/>
                <w:lang w:val="en-US" w:eastAsia="el-GR"/>
              </w:rPr>
              <w:t>1.22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97BC2D5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Μεμβράνη υδρατμοπερατή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BEE66B4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A6678C">
              <w:rPr>
                <w:sz w:val="20"/>
                <w:szCs w:val="20"/>
                <w:lang w:val="el-GR"/>
              </w:rPr>
              <w:t>ΕΝ 13859-1, ΕΝ 13859-2</w:t>
            </w:r>
          </w:p>
        </w:tc>
        <w:tc>
          <w:tcPr>
            <w:tcW w:w="1559" w:type="dxa"/>
          </w:tcPr>
          <w:p w14:paraId="1AE72E12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A6678C" w:rsidRPr="00A6678C" w14:paraId="59ED57B1" w14:textId="31DF3B30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1E4C8439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1.23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879528C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Ηχοαπορροφητικές πλάκες τύπου Heraklith πάχους 25mm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160CEE0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A6678C">
              <w:rPr>
                <w:sz w:val="20"/>
                <w:szCs w:val="20"/>
              </w:rPr>
              <w:t>EN</w:t>
            </w:r>
            <w:r w:rsidRPr="00A6678C">
              <w:rPr>
                <w:sz w:val="20"/>
                <w:szCs w:val="20"/>
                <w:lang w:val="el-GR"/>
              </w:rPr>
              <w:t xml:space="preserve"> 13168</w:t>
            </w:r>
          </w:p>
        </w:tc>
        <w:tc>
          <w:tcPr>
            <w:tcW w:w="1559" w:type="dxa"/>
          </w:tcPr>
          <w:p w14:paraId="5BEE6153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6678C" w:rsidRPr="00A6678C" w14:paraId="2F201BCD" w14:textId="63189287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014A05DC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1.24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FCF7342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Δικτυωτό έλασμα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4857682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highlight w:val="green"/>
                <w:lang w:val="el-GR" w:eastAsia="el-GR"/>
              </w:rPr>
            </w:pPr>
            <w:r w:rsidRPr="00A6678C">
              <w:rPr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559" w:type="dxa"/>
          </w:tcPr>
          <w:p w14:paraId="40BA3C08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</w:p>
        </w:tc>
      </w:tr>
      <w:tr w:rsidR="00A6678C" w:rsidRPr="00A6678C" w14:paraId="06B8EE50" w14:textId="439DC377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7DD75D00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1.25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A17C32C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Γραμμικά στραγγιστήρια από διάτρητους πλαστικούς σωλήνες D160 με περίβλημα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CA73C17" w14:textId="77777777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rFonts w:eastAsia="SimSun"/>
                <w:sz w:val="20"/>
                <w:szCs w:val="20"/>
                <w:lang w:val="el-GR"/>
              </w:rPr>
              <w:t>ΕΝ 9969, DIN 4262-1</w:t>
            </w:r>
          </w:p>
        </w:tc>
        <w:tc>
          <w:tcPr>
            <w:tcW w:w="1559" w:type="dxa"/>
          </w:tcPr>
          <w:p w14:paraId="16608DCA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tr w:rsidR="00A6678C" w:rsidRPr="009D49DB" w14:paraId="6C3CA610" w14:textId="112C44E5" w:rsidTr="00DF1F35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7F9B3020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1.26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F923D3F" w14:textId="77777777" w:rsidR="00A6678C" w:rsidRPr="00A6678C" w:rsidRDefault="00A6678C" w:rsidP="00A6678C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sz w:val="20"/>
                <w:szCs w:val="20"/>
                <w:lang w:val="el-GR" w:eastAsia="el-GR"/>
              </w:rPr>
              <w:t>Γεωύφασμα (400g/m</w:t>
            </w:r>
            <w:r w:rsidRPr="00A6678C">
              <w:rPr>
                <w:sz w:val="20"/>
                <w:szCs w:val="20"/>
                <w:vertAlign w:val="superscript"/>
                <w:lang w:val="el-GR" w:eastAsia="el-GR"/>
              </w:rPr>
              <w:t>2</w:t>
            </w:r>
            <w:r w:rsidRPr="00A6678C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D4BD607" w14:textId="77777777" w:rsidR="00DF1F35" w:rsidRDefault="00A6678C" w:rsidP="00DE3C0F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A6678C">
              <w:rPr>
                <w:rFonts w:eastAsia="SimSun"/>
                <w:sz w:val="20"/>
                <w:szCs w:val="20"/>
                <w:lang w:val="el-GR"/>
              </w:rPr>
              <w:t>ΕΝ 9863, ΕΝ 10319,</w:t>
            </w:r>
          </w:p>
          <w:p w14:paraId="23235FD3" w14:textId="6FA9F341" w:rsidR="00DF1F35" w:rsidRDefault="00A6678C" w:rsidP="00DE3C0F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  <w:r w:rsidRPr="00A6678C">
              <w:rPr>
                <w:rFonts w:eastAsia="SimSun"/>
                <w:sz w:val="20"/>
                <w:szCs w:val="20"/>
                <w:lang w:val="el-GR"/>
              </w:rPr>
              <w:t>ΕΝ 11058, ΕΝ 12236,</w:t>
            </w:r>
          </w:p>
          <w:p w14:paraId="2844A362" w14:textId="015E8BBC" w:rsidR="00A6678C" w:rsidRPr="00A6678C" w:rsidRDefault="00A6678C" w:rsidP="00DE3C0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A6678C">
              <w:rPr>
                <w:rFonts w:eastAsia="SimSun"/>
                <w:sz w:val="20"/>
                <w:szCs w:val="20"/>
                <w:lang w:val="el-GR"/>
              </w:rPr>
              <w:t>ΕΝ 12958, ΕΝ 13433, ΕΝ 13438</w:t>
            </w:r>
          </w:p>
        </w:tc>
        <w:tc>
          <w:tcPr>
            <w:tcW w:w="1559" w:type="dxa"/>
          </w:tcPr>
          <w:p w14:paraId="6A5BB5BE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rFonts w:eastAsia="SimSun"/>
                <w:sz w:val="20"/>
                <w:szCs w:val="20"/>
                <w:lang w:val="el-GR"/>
              </w:rPr>
            </w:pPr>
          </w:p>
        </w:tc>
      </w:tr>
      <w:bookmarkEnd w:id="1"/>
    </w:tbl>
    <w:p w14:paraId="2FAEB346" w14:textId="41A347C0" w:rsidR="000A4310" w:rsidRDefault="000A4310" w:rsidP="00A6678C">
      <w:pPr>
        <w:suppressAutoHyphens w:val="0"/>
        <w:spacing w:after="0"/>
        <w:jc w:val="center"/>
        <w:rPr>
          <w:rFonts w:ascii="Courier New" w:hAnsi="Courier New" w:cs="Courier New"/>
          <w:sz w:val="24"/>
          <w:lang w:val="el-GR" w:eastAsia="en-US"/>
        </w:rPr>
      </w:pPr>
    </w:p>
    <w:p w14:paraId="07A1F9E1" w14:textId="77777777" w:rsidR="00580BB3" w:rsidRDefault="00580BB3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38A3A44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8BF3BEA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6F20EF0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79FAD48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5D6E28A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21C6E47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537315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EA3D1C8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580E8E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DE0704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23BC13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DFB83D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225164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E6308AA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B35F54B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5F164B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B80CE77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286F651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51CB11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88E084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54370C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745951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2E41C70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A38BF6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5512F3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C4146C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883D28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1AC030D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FCD3D82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DA0E8A6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8CA4E0F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4691C83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34F68C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A7E57D1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9A56998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7BE50F9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31A8C7" w14:textId="77777777" w:rsidR="00DF1F35" w:rsidRDefault="00DF1F35" w:rsidP="00DF1F3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B2F03B2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26BB96B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6EAA9CC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9BE326F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1C449B5" w14:textId="77777777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B2E0474" w14:textId="77777777" w:rsidR="000E25E5" w:rsidRDefault="000E25E5" w:rsidP="000E25E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ED1C59F" w14:textId="2F6DE182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5710C5F" w14:textId="2F6DE182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8B9D988" w14:textId="5C80CDEF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469295B" w14:textId="77777777" w:rsidR="009D49DB" w:rsidRDefault="009D49DB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D193FF2" w14:textId="77777777" w:rsidR="000E25E5" w:rsidRDefault="000E25E5" w:rsidP="000E25E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A2E2FB4" w14:textId="3B2F3537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lastRenderedPageBreak/>
        <w:t>2ος Πίνακας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F72D26" w14:paraId="7FDC2D31" w14:textId="77777777" w:rsidTr="001D7816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9D49DB" w14:paraId="18BC965A" w14:textId="77777777" w:rsidTr="001D7816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D7816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76658D81" w14:textId="77777777" w:rsidR="000E25E5" w:rsidRDefault="000E25E5" w:rsidP="000E25E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14C1DD66" w14:textId="77777777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0E25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9B79" w14:textId="77777777" w:rsidR="00065973" w:rsidRDefault="00065973">
      <w:pPr>
        <w:spacing w:after="0"/>
      </w:pPr>
      <w:r>
        <w:separator/>
      </w:r>
    </w:p>
  </w:endnote>
  <w:endnote w:type="continuationSeparator" w:id="0">
    <w:p w14:paraId="19CF96B6" w14:textId="77777777" w:rsidR="00065973" w:rsidRDefault="000659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0EDB957B" w:rsidR="007837F5" w:rsidRDefault="007837F5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8D7" w14:textId="09195038" w:rsidR="000E25E5" w:rsidRDefault="000E25E5" w:rsidP="000E25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0604" w14:textId="77777777" w:rsidR="00065973" w:rsidRDefault="00065973">
      <w:pPr>
        <w:spacing w:after="0"/>
      </w:pPr>
      <w:r>
        <w:separator/>
      </w:r>
    </w:p>
  </w:footnote>
  <w:footnote w:type="continuationSeparator" w:id="0">
    <w:p w14:paraId="44DBCE6F" w14:textId="77777777" w:rsidR="00065973" w:rsidRDefault="000659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216" w14:textId="53A5B275" w:rsidR="000E25E5" w:rsidRDefault="000E25E5" w:rsidP="000E25E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3F3E0D26" w:rsidR="007837F5" w:rsidRPr="00E644A3" w:rsidRDefault="000E25E5" w:rsidP="000E25E5">
    <w:pPr>
      <w:pStyle w:val="Header"/>
      <w:tabs>
        <w:tab w:val="center" w:pos="4961"/>
        <w:tab w:val="left" w:pos="9015"/>
      </w:tabs>
      <w:jc w:val="left"/>
    </w:pPr>
    <w:r>
      <w:tab/>
    </w:r>
    <w:r>
      <w:rPr>
        <w:noProof/>
      </w:rPr>
      <w:drawing>
        <wp:inline distT="0" distB="0" distL="0" distR="0" wp14:anchorId="75815018" wp14:editId="12A0D5FD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1AA0"/>
    <w:rsid w:val="0000477F"/>
    <w:rsid w:val="0003419E"/>
    <w:rsid w:val="00055295"/>
    <w:rsid w:val="00055711"/>
    <w:rsid w:val="00057617"/>
    <w:rsid w:val="00061A6C"/>
    <w:rsid w:val="00065973"/>
    <w:rsid w:val="000731C9"/>
    <w:rsid w:val="0007775C"/>
    <w:rsid w:val="00077E0D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E25E5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D7816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E3790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C385B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56C57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9743B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1D31"/>
    <w:rsid w:val="009C23DF"/>
    <w:rsid w:val="009C2C0A"/>
    <w:rsid w:val="009C567D"/>
    <w:rsid w:val="009C6829"/>
    <w:rsid w:val="009C7102"/>
    <w:rsid w:val="009D49DB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678C"/>
    <w:rsid w:val="00A67677"/>
    <w:rsid w:val="00A71843"/>
    <w:rsid w:val="00A73131"/>
    <w:rsid w:val="00A740A3"/>
    <w:rsid w:val="00A75729"/>
    <w:rsid w:val="00A75A87"/>
    <w:rsid w:val="00A83763"/>
    <w:rsid w:val="00A83BAE"/>
    <w:rsid w:val="00A84B7F"/>
    <w:rsid w:val="00A854F4"/>
    <w:rsid w:val="00A9030D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13EE"/>
    <w:rsid w:val="00B45108"/>
    <w:rsid w:val="00B61D8B"/>
    <w:rsid w:val="00B63176"/>
    <w:rsid w:val="00B64591"/>
    <w:rsid w:val="00B83DCB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3C0F"/>
    <w:rsid w:val="00DE7175"/>
    <w:rsid w:val="00DF1C0F"/>
    <w:rsid w:val="00DF1F35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3021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SMARAGDA</cp:lastModifiedBy>
  <cp:revision>5</cp:revision>
  <cp:lastPrinted>2019-08-30T11:17:00Z</cp:lastPrinted>
  <dcterms:created xsi:type="dcterms:W3CDTF">2023-01-11T07:31:00Z</dcterms:created>
  <dcterms:modified xsi:type="dcterms:W3CDTF">2023-01-11T08:32:00Z</dcterms:modified>
</cp:coreProperties>
</file>