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4263100"/>
      <w:bookmarkEnd w:id="0"/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ωνυμί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DF1F35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DF1F35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Ταχ. Διεύθυνση: Λα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έρτου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22,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Πυλ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6A16CC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0F2F35C0" w:rsidR="00C046A1" w:rsidRPr="00C63479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39232F" w:rsidRPr="00C63479">
              <w:rPr>
                <w:b/>
                <w:bCs/>
                <w:szCs w:val="22"/>
                <w:lang w:val="el-GR"/>
              </w:rPr>
              <w:t>Αποκατάσταση τμήματος Βορειοανατολικής Πτέρυγας της Ι. Μ. Ξηροποτάμου</w:t>
            </w:r>
            <w:r w:rsidR="004D5141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6A16CC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5FAC9630" w:rsidR="00C046A1" w:rsidRPr="00C63479" w:rsidRDefault="00C95309" w:rsidP="0039232F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Υποέργο</w:t>
            </w:r>
            <w:r w:rsidR="00273129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39232F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3</w:t>
            </w:r>
            <w:r w:rsidR="00C046A1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 «</w:t>
            </w:r>
            <w:r w:rsidR="00D94D25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Προμήθεια </w:t>
            </w:r>
            <w:r w:rsidR="00001AA0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Οικοδομικών Υλικών </w:t>
            </w:r>
            <w:r w:rsidR="00C63479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(Α</w:t>
            </w:r>
            <w:r w:rsidR="006B2FF8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’ </w:t>
            </w:r>
            <w:r w:rsidR="00C63479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Φ</w:t>
            </w:r>
            <w:r w:rsidR="006B2FF8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άση</w:t>
            </w:r>
            <w:r w:rsidR="00C63479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)</w:t>
            </w:r>
            <w:r w:rsidR="00C046A1" w:rsidRPr="00C63479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1A0B3676" w:rsidR="001D7816" w:rsidRPr="00DF1F35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bookmarkStart w:id="1" w:name="_Hlk145341508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="00DE3C0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3E379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DE3C0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Οικοδομικά Υλικά</w:t>
            </w:r>
            <w:bookmarkEnd w:id="1"/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, CPV 44111000-1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34809C5" w14:textId="717ABF46" w:rsidR="0089743B" w:rsidRPr="00B413EE" w:rsidRDefault="00A6678C" w:rsidP="00DF1F35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 w:rsidR="00B413EE"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 w:rsidR="00B413EE">
        <w:rPr>
          <w:rFonts w:eastAsia="Arial"/>
          <w:szCs w:val="22"/>
          <w:lang w:val="el-GR" w:eastAsia="el-GR"/>
        </w:rPr>
        <w:t>Η</w:t>
      </w:r>
      <w:r w:rsidR="00DF1F35" w:rsidRPr="00DF1F35">
        <w:rPr>
          <w:rFonts w:eastAsia="Arial"/>
          <w:szCs w:val="22"/>
          <w:lang w:val="el-GR" w:eastAsia="el-GR"/>
        </w:rPr>
        <w:t xml:space="preserve"> τεχνική προσφορά</w:t>
      </w:r>
      <w:r w:rsidR="00B413EE"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="00DF1F35" w:rsidRPr="00DF1F35">
        <w:rPr>
          <w:rFonts w:eastAsia="Arial"/>
          <w:szCs w:val="22"/>
          <w:lang w:val="el-GR" w:eastAsia="el-GR"/>
        </w:rPr>
        <w:t xml:space="preserve"> θα πρέπει </w:t>
      </w:r>
      <w:r w:rsidR="00B413EE">
        <w:rPr>
          <w:rFonts w:eastAsia="Arial"/>
          <w:szCs w:val="22"/>
          <w:lang w:val="el-GR" w:eastAsia="el-GR"/>
        </w:rPr>
        <w:t xml:space="preserve">επίσης </w:t>
      </w:r>
      <w:r w:rsidR="00DF1F35"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 w:rsidR="00DF1F35">
        <w:rPr>
          <w:rFonts w:eastAsia="Arial"/>
          <w:szCs w:val="22"/>
          <w:lang w:val="el-GR" w:eastAsia="el-GR"/>
        </w:rPr>
        <w:t>πιστοποιητικά</w:t>
      </w:r>
      <w:r w:rsidR="00DF1F35" w:rsidRPr="00DF1F35">
        <w:rPr>
          <w:rFonts w:eastAsia="Arial"/>
          <w:szCs w:val="22"/>
          <w:lang w:val="el-GR" w:eastAsia="el-GR"/>
        </w:rPr>
        <w:t>, τεχνικά φυλλάδια, κλπ</w:t>
      </w:r>
      <w:r w:rsidR="00DF1F35">
        <w:rPr>
          <w:rFonts w:eastAsia="Arial"/>
          <w:szCs w:val="22"/>
          <w:lang w:val="el-GR" w:eastAsia="el-GR"/>
        </w:rPr>
        <w:t>.</w:t>
      </w:r>
      <w:r w:rsidR="00DF1F35" w:rsidRPr="00DF1F35">
        <w:rPr>
          <w:rFonts w:eastAsia="Arial"/>
          <w:szCs w:val="22"/>
          <w:lang w:val="el-GR" w:eastAsia="el-GR"/>
        </w:rPr>
        <w:t xml:space="preserve">), </w:t>
      </w:r>
      <w:r w:rsidR="00556C57"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="00DF1F35" w:rsidRPr="00DF1F35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του</w:t>
      </w:r>
      <w:r w:rsidR="00B413EE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Παραρτήματος</w:t>
      </w:r>
      <w:r w:rsidR="00B413EE">
        <w:rPr>
          <w:rFonts w:eastAsia="Arial"/>
          <w:szCs w:val="22"/>
          <w:lang w:val="el-GR" w:eastAsia="el-GR"/>
        </w:rPr>
        <w:t xml:space="preserve"> Ι</w:t>
      </w:r>
      <w:r w:rsidR="00DF1F35" w:rsidRPr="00DF1F35">
        <w:rPr>
          <w:rFonts w:eastAsia="Arial"/>
          <w:szCs w:val="22"/>
          <w:lang w:val="el-GR" w:eastAsia="el-GR"/>
        </w:rPr>
        <w:t>.</w:t>
      </w:r>
      <w:r w:rsidR="0089743B" w:rsidRPr="0089743B">
        <w:rPr>
          <w:rFonts w:eastAsia="Arial"/>
          <w:szCs w:val="22"/>
          <w:lang w:val="el-GR" w:eastAsia="el-GR"/>
        </w:rPr>
        <w:t xml:space="preserve"> </w:t>
      </w:r>
    </w:p>
    <w:p w14:paraId="1AB637DD" w14:textId="0C912FF8" w:rsidR="000E25E5" w:rsidRPr="00DF1F35" w:rsidRDefault="00B413EE" w:rsidP="000E25E5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="00A6678C" w:rsidRPr="00A6678C">
        <w:rPr>
          <w:rFonts w:eastAsia="Arial"/>
          <w:szCs w:val="22"/>
          <w:lang w:val="el-GR" w:eastAsia="el-GR"/>
        </w:rPr>
        <w:t xml:space="preserve"> 2</w:t>
      </w:r>
      <w:r w:rsidR="00A6678C" w:rsidRPr="00A6678C">
        <w:rPr>
          <w:rFonts w:eastAsia="Arial"/>
          <w:szCs w:val="22"/>
          <w:vertAlign w:val="superscript"/>
          <w:lang w:val="el-GR" w:eastAsia="el-GR"/>
        </w:rPr>
        <w:t>ο</w:t>
      </w:r>
      <w:r w:rsidR="00A6678C"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73687A8D" w14:textId="4B6518AB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640"/>
        <w:gridCol w:w="1940"/>
        <w:gridCol w:w="2080"/>
      </w:tblGrid>
      <w:tr w:rsidR="003906F9" w:rsidRPr="003906F9" w14:paraId="232D36F5" w14:textId="77777777" w:rsidTr="006A16CC">
        <w:trPr>
          <w:trHeight w:val="818"/>
          <w:jc w:val="center"/>
        </w:trPr>
        <w:tc>
          <w:tcPr>
            <w:tcW w:w="780" w:type="dxa"/>
            <w:shd w:val="clear" w:color="000000" w:fill="D9D9D9"/>
            <w:vAlign w:val="center"/>
            <w:hideMark/>
          </w:tcPr>
          <w:p w14:paraId="74F43BBB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640" w:type="dxa"/>
            <w:shd w:val="clear" w:color="000000" w:fill="D9D9D9"/>
            <w:vAlign w:val="center"/>
            <w:hideMark/>
          </w:tcPr>
          <w:p w14:paraId="58A46F24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940" w:type="dxa"/>
            <w:shd w:val="clear" w:color="000000" w:fill="D9D9D9"/>
            <w:vAlign w:val="center"/>
            <w:hideMark/>
          </w:tcPr>
          <w:p w14:paraId="37489BC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080" w:type="dxa"/>
            <w:shd w:val="clear" w:color="000000" w:fill="D9D9D9"/>
            <w:vAlign w:val="center"/>
            <w:hideMark/>
          </w:tcPr>
          <w:p w14:paraId="778E24F8" w14:textId="19502DD8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3906F9" w:rsidRPr="003906F9" w14:paraId="1B21AC0E" w14:textId="77777777" w:rsidTr="006A16CC">
        <w:trPr>
          <w:trHeight w:val="300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18A20808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1B1AE922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ΟΜΑΔΑ 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726E891A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58E9CCA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3906F9" w:rsidRPr="003906F9" w14:paraId="2EBAA596" w14:textId="77777777" w:rsidTr="006A16CC">
        <w:trPr>
          <w:trHeight w:val="300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75D2512D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20811F1D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CPV: 44111000-1 Οικοδομικά υλικά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14936771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5F40D99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3906F9" w:rsidRPr="003906F9" w14:paraId="187EA1F5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496F40D6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4C17274F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Τσιμέντο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F4BEC2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EN 197-1:2011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EB03219" w14:textId="366F17CC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1A80BAA8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4D17E24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1.2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2851D448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Λευκό Τσιμέντο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664990FE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EN 197-1:2011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4C3B03" w14:textId="3586379B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4B8646EE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57858D55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lastRenderedPageBreak/>
              <w:t>1.3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398BC89A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Γαρμπίλι (8/16)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429B83CD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ΕΛΟΤ ΕΝ 12620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31C30BA" w14:textId="468B34A5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7900CA3D" w14:textId="77777777" w:rsidTr="006A16CC">
        <w:trPr>
          <w:trHeight w:val="900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795BFFD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1.4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59738E3C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Άμμος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4124829E" w14:textId="19C3A3E1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ΕΝ 12620</w:t>
            </w:r>
            <w:r w:rsidRPr="003906F9">
              <w:rPr>
                <w:szCs w:val="22"/>
                <w:lang w:val="el-GR" w:eastAsia="el-GR"/>
              </w:rPr>
              <w:br/>
            </w:r>
            <w:r w:rsidR="00396463" w:rsidRPr="00396463">
              <w:rPr>
                <w:szCs w:val="22"/>
                <w:lang w:val="en-US" w:eastAsia="el-GR"/>
              </w:rPr>
              <w:t>EN 13139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0B3B3AD" w14:textId="656F7E99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75679B3E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2E5B708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1.5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04F9F518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Σύντριμα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(16/32)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043C56B7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ΕΛΟΤ ΕΝ 12620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9D7586A" w14:textId="01589990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29C809F2" w14:textId="77777777" w:rsidTr="006A16CC">
        <w:trPr>
          <w:trHeight w:val="765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22BB9755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1.6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11A94A75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Οπλισμός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69A3549" w14:textId="3B863D6F" w:rsidR="003906F9" w:rsidRPr="003906F9" w:rsidRDefault="003906F9" w:rsidP="00AC3D2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ΕΝ 10080</w:t>
            </w:r>
            <w:r w:rsidR="00D049CC">
              <w:t xml:space="preserve"> </w:t>
            </w:r>
            <w:r w:rsidRPr="003906F9">
              <w:rPr>
                <w:szCs w:val="22"/>
                <w:lang w:val="el-GR" w:eastAsia="el-GR"/>
              </w:rPr>
              <w:t xml:space="preserve">              ΕΛΟΤ 1421-3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04FAEFA4" w14:textId="3F07E4F5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232F" w:rsidRPr="003906F9" w14:paraId="4F7E32AF" w14:textId="77777777" w:rsidTr="006A16CC">
        <w:trPr>
          <w:trHeight w:val="765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53B86164" w14:textId="598408D1" w:rsidR="0039232F" w:rsidRPr="003906F9" w:rsidRDefault="0039232F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</w:t>
            </w:r>
            <w:r>
              <w:rPr>
                <w:szCs w:val="22"/>
                <w:lang w:val="el-GR" w:eastAsia="el-GR"/>
              </w:rPr>
              <w:t>7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637D24A0" w14:textId="3065FAE8" w:rsidR="0039232F" w:rsidRPr="003906F9" w:rsidRDefault="0039232F" w:rsidP="004107ED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Δομικό Πλέγμα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FB42D07" w14:textId="77777777" w:rsidR="00AC3D25" w:rsidRDefault="0039232F" w:rsidP="00AC3D2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ΕΝ 10080</w:t>
            </w:r>
            <w:r w:rsidR="00D049CC">
              <w:t xml:space="preserve"> </w:t>
            </w:r>
          </w:p>
          <w:p w14:paraId="52F2EC29" w14:textId="3ADA893C" w:rsidR="0039232F" w:rsidRPr="003906F9" w:rsidRDefault="0039232F" w:rsidP="00AC3D2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ΕΛΟΤ 1421-</w:t>
            </w:r>
            <w:r w:rsidR="00AC3D25">
              <w:rPr>
                <w:szCs w:val="22"/>
                <w:lang w:val="el-GR" w:eastAsia="el-GR"/>
              </w:rPr>
              <w:t>02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5AB929" w14:textId="77777777" w:rsidR="0039232F" w:rsidRPr="003906F9" w:rsidRDefault="0039232F" w:rsidP="004107ED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0EFDEBB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7A32588F" w14:textId="0B96E655" w:rsidR="003906F9" w:rsidRPr="003906F9" w:rsidRDefault="0039232F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1.8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787C695F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Θηραϊκή γη (</w:t>
            </w:r>
            <w:proofErr w:type="spellStart"/>
            <w:r w:rsidRPr="003906F9">
              <w:rPr>
                <w:szCs w:val="22"/>
                <w:lang w:val="el-GR" w:eastAsia="el-GR"/>
              </w:rPr>
              <w:t>big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</w:t>
            </w:r>
            <w:proofErr w:type="spellStart"/>
            <w:r w:rsidRPr="003906F9">
              <w:rPr>
                <w:szCs w:val="22"/>
                <w:lang w:val="el-GR" w:eastAsia="el-GR"/>
              </w:rPr>
              <w:t>bag</w:t>
            </w:r>
            <w:proofErr w:type="spellEnd"/>
            <w:r w:rsidRPr="003906F9">
              <w:rPr>
                <w:szCs w:val="22"/>
                <w:lang w:val="el-GR" w:eastAsia="el-GR"/>
              </w:rPr>
              <w:t>)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57E3526D" w14:textId="5D9D5FD5" w:rsidR="003906F9" w:rsidRPr="003906F9" w:rsidRDefault="00C6347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6DE159C" w14:textId="2CE754F6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0FD59E69" w14:textId="77777777" w:rsidTr="006A16CC">
        <w:trPr>
          <w:trHeight w:val="900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1D409CB4" w14:textId="2F6B983B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</w:t>
            </w:r>
            <w:r w:rsidR="0039232F">
              <w:rPr>
                <w:szCs w:val="22"/>
                <w:lang w:val="el-GR" w:eastAsia="el-GR"/>
              </w:rPr>
              <w:t>9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52C86707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Υδράσβεστος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6D2555E0" w14:textId="3AAA8A8D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ΕΛΟΤ-ΕΝ 459-1,      ΕΝ 459-2,                   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5C6683" w14:textId="41B32B06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D9625A5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112AEE6D" w14:textId="16EE5170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</w:t>
            </w:r>
            <w:r w:rsidR="0039232F">
              <w:rPr>
                <w:szCs w:val="22"/>
                <w:lang w:val="el-GR" w:eastAsia="el-GR"/>
              </w:rPr>
              <w:t>10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37097BA1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Έτοιμο υλικό </w:t>
            </w:r>
            <w:proofErr w:type="spellStart"/>
            <w:r w:rsidRPr="003906F9">
              <w:rPr>
                <w:szCs w:val="22"/>
                <w:lang w:val="el-GR" w:eastAsia="el-GR"/>
              </w:rPr>
              <w:t>αρμoλογήματος</w:t>
            </w:r>
            <w:proofErr w:type="spell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01D89387" w14:textId="1D276D32" w:rsidR="00FD1922" w:rsidRPr="003906F9" w:rsidRDefault="003906F9" w:rsidP="00FD192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EN 998-2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CA052D2" w14:textId="11864DDD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21AB6A46" w14:textId="77777777" w:rsidTr="006A16CC">
        <w:trPr>
          <w:trHeight w:val="900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642F1650" w14:textId="39FBA0D3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7D77E010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Ρευστό </w:t>
            </w:r>
            <w:proofErr w:type="spellStart"/>
            <w:r w:rsidRPr="003906F9">
              <w:rPr>
                <w:szCs w:val="22"/>
                <w:lang w:val="el-GR" w:eastAsia="el-GR"/>
              </w:rPr>
              <w:t>γεωκονίαμα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(για αγκυρώσεις)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7ADBC051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ΕΝ 1504-3</w:t>
            </w:r>
            <w:r w:rsidRPr="003906F9">
              <w:rPr>
                <w:szCs w:val="22"/>
                <w:lang w:val="el-GR" w:eastAsia="el-GR"/>
              </w:rPr>
              <w:br/>
              <w:t>ΕΝ 1504-6</w:t>
            </w:r>
            <w:r w:rsidRPr="003906F9">
              <w:rPr>
                <w:szCs w:val="22"/>
                <w:lang w:val="el-GR" w:eastAsia="el-GR"/>
              </w:rPr>
              <w:br/>
              <w:t>ΕΝ 1504-7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6DE307" w14:textId="6865D21A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631F96" w14:paraId="60E654A3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4818B407" w14:textId="3CD6CD54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2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76BF5E03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Λινέλαιο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6868164" w14:textId="79725A7F" w:rsidR="003906F9" w:rsidRPr="003906F9" w:rsidRDefault="00C6347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11EAD2D" w14:textId="253A1FD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631F96" w14:paraId="2C406B17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7F49E161" w14:textId="07BB90F1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3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50584338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Νέφτι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65179448" w14:textId="3306BE76" w:rsidR="003906F9" w:rsidRPr="003906F9" w:rsidRDefault="00C6347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4A07F4C" w14:textId="41E44044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631F96" w14:paraId="05B28FEE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3E591B16" w14:textId="3492302B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7B70EAA3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Μυκητοκτόνο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35E672A4" w14:textId="24C58651" w:rsidR="003906F9" w:rsidRPr="003906F9" w:rsidRDefault="00C6347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C8C821" w14:textId="6C823D4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232F" w14:paraId="4C84E22F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2E484D31" w14:textId="4EF997E3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26C61F54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Ρητίνη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19AC9AC8" w14:textId="48BE95E9" w:rsidR="003906F9" w:rsidRPr="003906F9" w:rsidRDefault="00C6347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0DBAA627" w14:textId="5B75BF0F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4DE6A18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20E611DF" w14:textId="626B55A4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6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354867F6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Υπερρευστοποιητής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35C91AF0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ΕΝ 934-2 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1B4978" w14:textId="4F2F7C70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81AA4FE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7398EAF7" w14:textId="767C9E6F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7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4C7AF42D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Αντισυρρικνωτικό</w:t>
            </w:r>
            <w:proofErr w:type="spell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3F6324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ΕΝ 934-4 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6F4602E" w14:textId="6BC5B44B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DA0C37E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11388DC7" w14:textId="45243827" w:rsidR="003906F9" w:rsidRPr="003906F9" w:rsidRDefault="003906F9" w:rsidP="00392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  <w:r w:rsidR="0039232F">
              <w:rPr>
                <w:szCs w:val="22"/>
                <w:lang w:val="el-GR" w:eastAsia="el-GR"/>
              </w:rPr>
              <w:t>8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41A3B52E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Φύλλο Πολυαιθυλενίου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406A6DCB" w14:textId="5289E63B" w:rsidR="0036273F" w:rsidRPr="003906F9" w:rsidRDefault="00C6347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E02D48B" w14:textId="1AA298C2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50F20A5D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3040D66C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1.19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426EB697" w14:textId="3340BE49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Σωλήνες γαλβανισμέν</w:t>
            </w:r>
            <w:r w:rsidR="009F3A0C">
              <w:rPr>
                <w:szCs w:val="22"/>
                <w:lang w:val="el-GR" w:eastAsia="el-GR"/>
              </w:rPr>
              <w:t>οι</w:t>
            </w:r>
            <w:r w:rsidRPr="003906F9">
              <w:rPr>
                <w:szCs w:val="22"/>
                <w:lang w:val="el-GR" w:eastAsia="el-GR"/>
              </w:rPr>
              <w:t xml:space="preserve"> 1/2"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C5F9207" w14:textId="4E05F69F" w:rsidR="003906F9" w:rsidRPr="003906F9" w:rsidRDefault="00C63479" w:rsidP="00C6347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6971E1D8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</w:tr>
      <w:tr w:rsidR="003906F9" w:rsidRPr="003906F9" w14:paraId="1D0057C9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70846507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1.20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2224B62E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 xml:space="preserve">Βάνες γαλβανισμένες 1/2"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756DC744" w14:textId="55D315DD" w:rsidR="003906F9" w:rsidRPr="003906F9" w:rsidRDefault="00C63479" w:rsidP="00C6347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F8283A0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</w:tr>
      <w:tr w:rsidR="003906F9" w:rsidRPr="003906F9" w14:paraId="09EB77A1" w14:textId="77777777" w:rsidTr="006A16CC">
        <w:trPr>
          <w:trHeight w:val="454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14:paraId="31347883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1.21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44FFFFCC" w14:textId="4F6447D1" w:rsidR="003906F9" w:rsidRPr="003906F9" w:rsidRDefault="003906F9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906F9">
              <w:rPr>
                <w:szCs w:val="22"/>
                <w:lang w:val="el-GR" w:eastAsia="el-GR"/>
              </w:rPr>
              <w:t>Ταχυσύνδεσμοι</w:t>
            </w:r>
            <w:proofErr w:type="spellEnd"/>
            <w:r w:rsidRPr="003906F9">
              <w:rPr>
                <w:szCs w:val="22"/>
                <w:lang w:val="el-GR" w:eastAsia="el-GR"/>
              </w:rPr>
              <w:t xml:space="preserve"> </w:t>
            </w:r>
            <w:r w:rsidR="009F3A0C" w:rsidRPr="009F3A0C">
              <w:rPr>
                <w:szCs w:val="22"/>
                <w:lang w:val="el-GR" w:eastAsia="el-GR"/>
              </w:rPr>
              <w:t>ορειχάλκινοι</w:t>
            </w:r>
            <w:r w:rsidRPr="003906F9">
              <w:rPr>
                <w:szCs w:val="22"/>
                <w:lang w:val="el-GR" w:eastAsia="el-GR"/>
              </w:rPr>
              <w:t xml:space="preserve"> 1/2"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C051685" w14:textId="1DFAB2E7" w:rsidR="003906F9" w:rsidRPr="003906F9" w:rsidRDefault="00C63479" w:rsidP="00C6347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5A3DA4E3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 </w:t>
            </w:r>
          </w:p>
        </w:tc>
      </w:tr>
    </w:tbl>
    <w:p w14:paraId="00702BD2" w14:textId="77777777" w:rsidR="003906F9" w:rsidRDefault="003906F9" w:rsidP="003906F9">
      <w:pPr>
        <w:pStyle w:val="Bodytext20"/>
        <w:shd w:val="clear" w:color="auto" w:fill="auto"/>
        <w:spacing w:before="0" w:line="252" w:lineRule="auto"/>
        <w:ind w:firstLine="0"/>
        <w:jc w:val="left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14:paraId="187BB9A3" w14:textId="77777777" w:rsidR="003906F9" w:rsidRDefault="003906F9" w:rsidP="003906F9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AF118F9" w14:textId="77777777" w:rsidR="00200CAC" w:rsidRDefault="00200CAC" w:rsidP="003906F9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br w:type="page"/>
      </w:r>
    </w:p>
    <w:p w14:paraId="5D41C2B2" w14:textId="73CF8368" w:rsidR="003906F9" w:rsidRPr="00110263" w:rsidRDefault="003906F9" w:rsidP="003906F9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2ος Πίνακας</w:t>
      </w:r>
    </w:p>
    <w:p w14:paraId="6DE0704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23BC13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pPr w:leftFromText="180" w:rightFromText="180" w:vertAnchor="text" w:horzAnchor="margin" w:tblpXSpec="center" w:tblpY="15"/>
        <w:tblW w:w="10800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3906F9" w:rsidRPr="00F72D26" w14:paraId="68075BD0" w14:textId="77777777" w:rsidTr="003906F9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980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FB4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3906F9" w:rsidRPr="006A16CC" w14:paraId="6261C6B7" w14:textId="77777777" w:rsidTr="003906F9">
        <w:trPr>
          <w:trHeight w:val="8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2914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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166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3906F9" w:rsidRPr="00F72D26" w14:paraId="2A973EF2" w14:textId="77777777" w:rsidTr="003906F9">
        <w:trPr>
          <w:trHeight w:val="7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5151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6D6A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3DFB83D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7759DE6" w14:textId="77777777" w:rsidR="00631F96" w:rsidRDefault="00631F96" w:rsidP="00631F96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225164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E6308AA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35F54B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5F164B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B80CE77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286F65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51CB11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88E08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54370C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45951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2E41C70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A38BF6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5512F3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C4146C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883D28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1AC030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FCD3D8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DA0E8A6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8CA4E0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4691C83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34F68C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A7E57D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9A56998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BE50F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31A8C7" w14:textId="77777777" w:rsidR="00DF1F35" w:rsidRDefault="00DF1F35" w:rsidP="00DF1F3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2F03B2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26BB96B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EAA9CC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9BE326F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1C449B5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ED1C59F" w14:textId="2F6DE182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5710C5F" w14:textId="2F6DE182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8B9D988" w14:textId="5C80CDEF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469295B" w14:textId="77777777" w:rsidR="009D49DB" w:rsidRDefault="009D49DB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D193FF2" w14:textId="77777777" w:rsidR="000E25E5" w:rsidRDefault="000E25E5" w:rsidP="000E25E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4C1DD66" w14:textId="77777777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sectPr w:rsidR="003B70A3" w:rsidSect="000E25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CC34" w14:textId="77777777" w:rsidR="00AF67FC" w:rsidRDefault="00AF67FC">
      <w:pPr>
        <w:spacing w:after="0"/>
      </w:pPr>
      <w:r>
        <w:separator/>
      </w:r>
    </w:p>
  </w:endnote>
  <w:endnote w:type="continuationSeparator" w:id="0">
    <w:p w14:paraId="309B6D22" w14:textId="77777777" w:rsidR="00AF67FC" w:rsidRDefault="00AF67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0EDB957B" w:rsidR="007837F5" w:rsidRDefault="007837F5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5A47308C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AC3D25">
      <w:rPr>
        <w:noProof/>
        <w:sz w:val="20"/>
        <w:szCs w:val="20"/>
      </w:rPr>
      <w:t>3</w:t>
    </w:r>
    <w:r w:rsidR="00A4455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8D7" w14:textId="09195038" w:rsidR="000E25E5" w:rsidRDefault="000E25E5" w:rsidP="000E25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6EFC" w14:textId="77777777" w:rsidR="00AF67FC" w:rsidRDefault="00AF67FC">
      <w:pPr>
        <w:spacing w:after="0"/>
      </w:pPr>
      <w:r>
        <w:separator/>
      </w:r>
    </w:p>
  </w:footnote>
  <w:footnote w:type="continuationSeparator" w:id="0">
    <w:p w14:paraId="7B05D6C4" w14:textId="77777777" w:rsidR="00AF67FC" w:rsidRDefault="00AF67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216" w14:textId="53A5B275" w:rsidR="000E25E5" w:rsidRDefault="000E25E5" w:rsidP="000E25E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3F3E0D26" w:rsidR="007837F5" w:rsidRPr="00E644A3" w:rsidRDefault="000E25E5" w:rsidP="000E25E5">
    <w:pPr>
      <w:pStyle w:val="Header"/>
      <w:tabs>
        <w:tab w:val="center" w:pos="4961"/>
        <w:tab w:val="left" w:pos="9015"/>
      </w:tabs>
      <w:jc w:val="left"/>
    </w:pPr>
    <w:r>
      <w:tab/>
    </w:r>
    <w:r>
      <w:rPr>
        <w:noProof/>
        <w:lang w:val="el-GR" w:eastAsia="el-GR"/>
      </w:rPr>
      <w:drawing>
        <wp:inline distT="0" distB="0" distL="0" distR="0" wp14:anchorId="75815018" wp14:editId="12A0D5FD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574602">
    <w:abstractNumId w:val="0"/>
  </w:num>
  <w:num w:numId="2" w16cid:durableId="445975690">
    <w:abstractNumId w:val="1"/>
  </w:num>
  <w:num w:numId="3" w16cid:durableId="1979995288">
    <w:abstractNumId w:val="2"/>
  </w:num>
  <w:num w:numId="4" w16cid:durableId="272245229">
    <w:abstractNumId w:val="3"/>
  </w:num>
  <w:num w:numId="5" w16cid:durableId="290599515">
    <w:abstractNumId w:val="4"/>
  </w:num>
  <w:num w:numId="6" w16cid:durableId="1179123748">
    <w:abstractNumId w:val="5"/>
  </w:num>
  <w:num w:numId="7" w16cid:durableId="133107312">
    <w:abstractNumId w:val="6"/>
  </w:num>
  <w:num w:numId="8" w16cid:durableId="533080891">
    <w:abstractNumId w:val="7"/>
  </w:num>
  <w:num w:numId="9" w16cid:durableId="1875538303">
    <w:abstractNumId w:val="8"/>
  </w:num>
  <w:num w:numId="10" w16cid:durableId="1986200853">
    <w:abstractNumId w:val="9"/>
  </w:num>
  <w:num w:numId="11" w16cid:durableId="689183222">
    <w:abstractNumId w:val="21"/>
  </w:num>
  <w:num w:numId="12" w16cid:durableId="1721897003">
    <w:abstractNumId w:val="28"/>
  </w:num>
  <w:num w:numId="13" w16cid:durableId="25759413">
    <w:abstractNumId w:val="30"/>
  </w:num>
  <w:num w:numId="14" w16cid:durableId="593712424">
    <w:abstractNumId w:val="23"/>
  </w:num>
  <w:num w:numId="15" w16cid:durableId="916355490">
    <w:abstractNumId w:val="35"/>
  </w:num>
  <w:num w:numId="16" w16cid:durableId="746659054">
    <w:abstractNumId w:val="13"/>
  </w:num>
  <w:num w:numId="17" w16cid:durableId="765685741">
    <w:abstractNumId w:val="15"/>
  </w:num>
  <w:num w:numId="18" w16cid:durableId="1698658997">
    <w:abstractNumId w:val="18"/>
  </w:num>
  <w:num w:numId="19" w16cid:durableId="548760248">
    <w:abstractNumId w:val="32"/>
  </w:num>
  <w:num w:numId="20" w16cid:durableId="2083602779">
    <w:abstractNumId w:val="34"/>
  </w:num>
  <w:num w:numId="21" w16cid:durableId="788233840">
    <w:abstractNumId w:val="17"/>
  </w:num>
  <w:num w:numId="22" w16cid:durableId="1948737072">
    <w:abstractNumId w:val="27"/>
  </w:num>
  <w:num w:numId="23" w16cid:durableId="2132092353">
    <w:abstractNumId w:val="31"/>
  </w:num>
  <w:num w:numId="24" w16cid:durableId="1243562215">
    <w:abstractNumId w:val="26"/>
  </w:num>
  <w:num w:numId="25" w16cid:durableId="1097601589">
    <w:abstractNumId w:val="10"/>
  </w:num>
  <w:num w:numId="26" w16cid:durableId="1463035438">
    <w:abstractNumId w:val="37"/>
  </w:num>
  <w:num w:numId="27" w16cid:durableId="954097488">
    <w:abstractNumId w:val="11"/>
  </w:num>
  <w:num w:numId="28" w16cid:durableId="1171601240">
    <w:abstractNumId w:val="29"/>
  </w:num>
  <w:num w:numId="29" w16cid:durableId="1111438967">
    <w:abstractNumId w:val="12"/>
  </w:num>
  <w:num w:numId="30" w16cid:durableId="533344091">
    <w:abstractNumId w:val="20"/>
  </w:num>
  <w:num w:numId="31" w16cid:durableId="2012558300">
    <w:abstractNumId w:val="33"/>
  </w:num>
  <w:num w:numId="32" w16cid:durableId="2064713520">
    <w:abstractNumId w:val="22"/>
  </w:num>
  <w:num w:numId="33" w16cid:durableId="1968269484">
    <w:abstractNumId w:val="16"/>
  </w:num>
  <w:num w:numId="34" w16cid:durableId="1078788476">
    <w:abstractNumId w:val="19"/>
  </w:num>
  <w:num w:numId="35" w16cid:durableId="994213840">
    <w:abstractNumId w:val="24"/>
  </w:num>
  <w:num w:numId="36" w16cid:durableId="882210225">
    <w:abstractNumId w:val="14"/>
  </w:num>
  <w:num w:numId="37" w16cid:durableId="1201210162">
    <w:abstractNumId w:val="36"/>
  </w:num>
  <w:num w:numId="38" w16cid:durableId="563567679">
    <w:abstractNumId w:val="38"/>
  </w:num>
  <w:num w:numId="39" w16cid:durableId="17238717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01AA0"/>
    <w:rsid w:val="0000477F"/>
    <w:rsid w:val="0003419E"/>
    <w:rsid w:val="00055295"/>
    <w:rsid w:val="00055711"/>
    <w:rsid w:val="00057617"/>
    <w:rsid w:val="00061A6C"/>
    <w:rsid w:val="00065973"/>
    <w:rsid w:val="000731C9"/>
    <w:rsid w:val="0007775C"/>
    <w:rsid w:val="00077E0D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E25E5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0CAC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0E32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273F"/>
    <w:rsid w:val="0036489A"/>
    <w:rsid w:val="00371845"/>
    <w:rsid w:val="003738C2"/>
    <w:rsid w:val="00380E8F"/>
    <w:rsid w:val="00382EC3"/>
    <w:rsid w:val="00387E04"/>
    <w:rsid w:val="003906F9"/>
    <w:rsid w:val="0039232F"/>
    <w:rsid w:val="00396463"/>
    <w:rsid w:val="00396C1A"/>
    <w:rsid w:val="003A6631"/>
    <w:rsid w:val="003B0D24"/>
    <w:rsid w:val="003B4A5B"/>
    <w:rsid w:val="003B70A3"/>
    <w:rsid w:val="003D4B3A"/>
    <w:rsid w:val="003D628E"/>
    <w:rsid w:val="003E3790"/>
    <w:rsid w:val="003F1725"/>
    <w:rsid w:val="00402A24"/>
    <w:rsid w:val="00413719"/>
    <w:rsid w:val="00415BAE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C385B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56C57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31F96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16CC"/>
    <w:rsid w:val="006A2664"/>
    <w:rsid w:val="006B2FF8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9743B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1D31"/>
    <w:rsid w:val="009C23DF"/>
    <w:rsid w:val="009C2C0A"/>
    <w:rsid w:val="009C567D"/>
    <w:rsid w:val="009C6829"/>
    <w:rsid w:val="009C7102"/>
    <w:rsid w:val="009D49DB"/>
    <w:rsid w:val="009D5FC8"/>
    <w:rsid w:val="009D7B50"/>
    <w:rsid w:val="009E1FF5"/>
    <w:rsid w:val="009F3A0C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678C"/>
    <w:rsid w:val="00A67677"/>
    <w:rsid w:val="00A71843"/>
    <w:rsid w:val="00A73131"/>
    <w:rsid w:val="00A740A3"/>
    <w:rsid w:val="00A75729"/>
    <w:rsid w:val="00A75A87"/>
    <w:rsid w:val="00A83763"/>
    <w:rsid w:val="00A83BAE"/>
    <w:rsid w:val="00A84B7F"/>
    <w:rsid w:val="00A854F4"/>
    <w:rsid w:val="00A9030D"/>
    <w:rsid w:val="00A948CC"/>
    <w:rsid w:val="00A95944"/>
    <w:rsid w:val="00AA0AC8"/>
    <w:rsid w:val="00AA11D2"/>
    <w:rsid w:val="00AA3380"/>
    <w:rsid w:val="00AA73E3"/>
    <w:rsid w:val="00AB2B55"/>
    <w:rsid w:val="00AB7CE1"/>
    <w:rsid w:val="00AC3D25"/>
    <w:rsid w:val="00AD7BD3"/>
    <w:rsid w:val="00AF6479"/>
    <w:rsid w:val="00AF67FC"/>
    <w:rsid w:val="00B01362"/>
    <w:rsid w:val="00B1598F"/>
    <w:rsid w:val="00B16947"/>
    <w:rsid w:val="00B17EA2"/>
    <w:rsid w:val="00B24DF8"/>
    <w:rsid w:val="00B271B4"/>
    <w:rsid w:val="00B31708"/>
    <w:rsid w:val="00B36234"/>
    <w:rsid w:val="00B413EE"/>
    <w:rsid w:val="00B45108"/>
    <w:rsid w:val="00B61D8B"/>
    <w:rsid w:val="00B63176"/>
    <w:rsid w:val="00B64591"/>
    <w:rsid w:val="00B83DCB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3479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49CC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3C0F"/>
    <w:rsid w:val="00DE7175"/>
    <w:rsid w:val="00DF1C0F"/>
    <w:rsid w:val="00DF1F35"/>
    <w:rsid w:val="00DF3B72"/>
    <w:rsid w:val="00DF48A3"/>
    <w:rsid w:val="00E2653C"/>
    <w:rsid w:val="00E37D05"/>
    <w:rsid w:val="00E51EBA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023E7"/>
    <w:rsid w:val="00F1233F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1922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EEB511"/>
  <w15:docId w15:val="{EBADBE76-6888-4A48-8532-3001D95D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A26C-31C1-41C5-AC3A-C181150F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2309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SMARAGDA</cp:lastModifiedBy>
  <cp:revision>2</cp:revision>
  <cp:lastPrinted>2019-08-30T11:17:00Z</cp:lastPrinted>
  <dcterms:created xsi:type="dcterms:W3CDTF">2023-09-11T14:09:00Z</dcterms:created>
  <dcterms:modified xsi:type="dcterms:W3CDTF">2023-09-11T14:09:00Z</dcterms:modified>
</cp:coreProperties>
</file>